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left"/>
        <w:rPr>
          <w:rFonts w:ascii="Times New Roman" w:hAnsi="Times New Roman" w:cs="Times New Roman"/>
          <w:b/>
          <w:bCs/>
          <w:sz w:val="160"/>
          <w:szCs w:val="160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48"/>
          <w:szCs w:val="48"/>
        </w:rPr>
        <w:t xml:space="preserve">SVĚT EMOCÍ</w:t>
      </w:r>
      <w:r>
        <w:rPr>
          <w:rFonts w:ascii="Times New Roman" w:hAnsi="Times New Roman" w:eastAsia="Times New Roman" w:cs="Times New Roman"/>
          <w:b/>
          <w:bCs/>
          <w:sz w:val="48"/>
          <w:szCs w:val="48"/>
          <w:highlight w:val="none"/>
        </w:rPr>
      </w:r>
      <w:r>
        <w:rPr>
          <w:rFonts w:ascii="Times New Roman" w:hAnsi="Times New Roman" w:cs="Times New Roman"/>
          <w:b/>
          <w:bCs/>
          <w:sz w:val="160"/>
          <w:szCs w:val="160"/>
          <w:highlight w:val="none"/>
        </w:rPr>
      </w:r>
    </w:p>
    <w:p>
      <w:pPr>
        <w:pBdr/>
        <w:spacing/>
        <w:ind w:right="0" w:hanging="283" w:left="5244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Mgr. et Mgr. Vladimíra Šídlová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right="0" w:hanging="283" w:left="5244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klinická psycholožka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Bdr/>
        <w:spacing/>
        <w:ind w:right="0" w:hanging="283" w:left="5244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11.5.2024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right="0" w:hanging="283" w:left="5244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Místa v srdci ženy, České Budějovice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Poznámka zapisovatelky – to, co je kurzívou, jsou doplnění, které vyřkla paní přednášející. Bez kurzívy jsou to přepsané slidy z prezentace. (Jana Zassiedko).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TŘI SLOŽKY EMOCÍ: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Style w:val="842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Pocitová subjektivní složka – pozitivně nebo negativně zabarvená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2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Výrazové chování – hlavně výraz obličeje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42"/>
        <w:numPr>
          <w:ilvl w:val="0"/>
          <w:numId w:val="1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Tělesná složka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Když se někoho zeptám Jak se máš, tak je pro něj často těžké to popsat. Popíše často třeba jen tělesnou reakci: „Bolí mě břicho.“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CHARAKTERISTIKA EMOCÍ: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Trvání –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mají vzestup i sestup. Někdy je dobré dát tomu jen čas a stačí to.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Intenzita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Polarita – libost, nelibost – ambivalence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Nakažlivost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Spontánnost –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vznik nezávisle na naší vůli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Neopakovatelné a subjektivní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C.G.JUNG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Psychika se skládá z: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Myšlení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Cítění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Vnímání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Intuice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Je dobré si uvědomit, že myšlení není nadřazené.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K ČEMU JSOU EMOCE DOBRÉ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Přežít (boj nebo útěk)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Zapamatovat si lidi, situace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Zvládnout situace v běžném životě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Vyhnout se bolesti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ZÁKLADNÍ EMOCE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Hněv, radost, překvapení, znechucení, smutek, strach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Praktické cvičení: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Jak se právě teď cítím?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Bezcenně, beznadějně, bezp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ečně, blaženě, čiperně, dotčeně, energicky, frustrovaně, křehce, klidně, lhostejně, lítostivě, naštvaně, nejistě, nervózně, odhodlaně, opatrně, ostýchavě, otráveně, plná života, podezřívavě, podrážděně, potěšeně, prázdně, provinile, překvapeně, radostně, r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ozčíleně, rozzuřeně, sebejistě, silně, sklíčeně, smutně, spokojeně, šíleně, šťastně, unaveně, uraženě, ustaraně, úzkostně, unaveně, vyděšeně, zaujatě, závistivě, zahanbeně, zklamaně, znechuceně, znepokojeně, znuděně, zranitelně, zvědavě, žalostně, žárlivě.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Příklady základních emocí v Bibli: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Hněv, radost, překvapení, smutek, strach, znechucení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EMOČNÍ INTELIGENCE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Sebeuvědomění –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co cítím? To uvědomění je dobré pro to, abych to nějak zvládnul. Už to třeba není tak děsivé.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Sebeovládání –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:u w:val="none"/>
        </w:rPr>
        <w:t xml:space="preserve">jak zvládat silné emoce?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Sebemotivace –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k něčemu mám odpor, k něčemu mě to táhne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Empatie –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co cítí ostatní? Čím víc je člověk orientovaný sám v sobě, dokáže vnímat, co ti druzí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Sociální dovednosti –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jak své emoce projevovat? Aby ty emoce byly spíš k užitku než ke škodě.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 (NE)CÍTÍM?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Když je tam v tom „pytli“ v nás chaos, nevím, co cítím, tak to nedokážu nějak použít. Je třeba se zastavit!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</w:rPr>
        <w:t xml:space="preserve">Rozlišení jednotlivých emocí – pomáhá dostat se z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4"/>
          <w:szCs w:val="24"/>
          <w:highlight w:val="none"/>
        </w:rPr>
        <w:t xml:space="preserve">emočního zmatku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i w:val="0"/>
          <w:i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4"/>
          <w:szCs w:val="24"/>
          <w:highlight w:val="none"/>
        </w:rPr>
        <w:t xml:space="preserve">Regulace emocí není jejich potlačení!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Cs w:val="0"/>
          <w:i w:val="0"/>
          <w:sz w:val="24"/>
          <w:szCs w:val="24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</w:rPr>
        <w:t xml:space="preserve">Potlačení emocí – emoce se městnají, jejich vyjádření pak může být hůře ovladatelné, kontrolované, nebo za emoce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24"/>
          <w:szCs w:val="24"/>
          <w:highlight w:val="none"/>
        </w:rPr>
        <w:t xml:space="preserve">mluví tělo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Když si připustím, že takovou emoci mám, tak se s tím dá něco dělat.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tbl>
      <w:tblPr>
        <w:tblStyle w:val="694"/>
        <w:tblW w:w="0" w:type="auto"/>
        <w:tblBorders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Emoce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Kdy se objeví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účel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Pozitivní pól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Negativní pól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strach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hněv (vztek)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radost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smutek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odpor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překvapení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Například strach – v čem ta emoce pomůže? X v čem brání?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Chrání nás x člověk se něčemu vyhýbá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CO SE SKRÝVÁ POD HLADINOU?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Obrázek ledovce. Proč je ta emoce tak velká? Co je pod ní?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Nad hladinou je SMUTEK. Pod hladinou ale může být: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jc w:val="center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SMUTEK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  <w:r/>
    </w:p>
    <w:p>
      <w:pPr>
        <w:pBdr/>
        <w:spacing/>
        <w:ind w:firstLine="0" w:left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———-———————————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Osamělost Zranitelnost Zoufalost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Pocti viny Křehkost Zklamání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Podřadnost Prázdnota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Zahanbenost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Bezmocnost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Opuštěnost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94"/>
        <w:tblW w:w="0" w:type="auto"/>
        <w:tblBorders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STRACH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———-———————————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Ustaranost Zahanbení Bezmocnost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Nedostatečnost Nervozita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Vyloučení ohrožení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Zahanbenost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Méněcennost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Odmítnutí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Úzkost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HNĚV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———-———————————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Zesměšnění Zahanbení Frustrace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Pocit zneužití Hořkost Pocit zrady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Rozmrzelost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Zklamání Ponížení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Nejistota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Otupělost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Žárlivost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KRUH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Chování</w:t>
        <w:tab/>
        <w:tab/>
        <w:t xml:space="preserve">Pocit</w:t>
        <w:tab/>
        <w:tab/>
        <w:tab/>
        <w:t xml:space="preserve">Tělesná reakce</w:t>
        <w:tab/>
        <w:tab/>
        <w:t xml:space="preserve">Myšlenka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Příklad: Manžel přinese kytku – různé možnosti, co mohou nastat: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tbl>
      <w:tblPr>
        <w:tblStyle w:val="694"/>
        <w:tblW w:w="0" w:type="auto"/>
        <w:tblBorders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Myšlenka: Je pozorný, má mě rád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Pocit: překvapení, radost, láska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Chování: obejme ho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pBdr/>
              <w:spacing/>
              <w:ind w:firstLine="0" w:left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Myšlenka: Asi chce něco vyžehlit. Nebo: Zase kytka, mohl přinést něco lepšího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Pocit: zklamání, hněv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firstLine="0" w:left="0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  <w:t xml:space="preserve">Chování: bude určitě jiné než v první situaci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Zmapujme si! Myšlenky mohou být problematické, když jsou černobílé, katastrofické, zevšeobecněné („vždycky, nikdy“). Je třeba si říct: A je to opravdu tak? Že VŠICHNI jsou takoví, že NIKDY se mi nic nepovede...?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HNĚV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Style w:val="842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Je mnohdy velmi užitečný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Objevuje se, když je ohroženo naše sebeuskutečnění či sebezáchova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Když se druhému děje bezpráví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Připustíme-li si svůj hněv, může dojít k našemu oživení, můžeme získat energii pro nutné změny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To, že někdo potlačuje svůj hněv, ještě zdaleka neznamená, že je lepším člověkem.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5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Abychom s něčím mohli odpovědně zacházet, je třeba se postavit tomu čelem.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Když vede k agresi, není v pořádku.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Často s ním neumíme pracovat – potlačíme ho – ale pak nám bere živost.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Má velkou sílu. Nepotlačujme ho!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D</w:t>
      </w:r>
      <w:r/>
      <w:r>
        <w:rPr>
          <w:rFonts w:hint="default" w:ascii="Cambria Math" w:hAnsi="Cambria Math" w:eastAsia="Cambria Math" w:cs="Cambria Math"/>
          <w:b/>
          <w:bCs/>
          <w:sz w:val="28"/>
          <w:szCs w:val="28"/>
          <w:highlight w:val="none"/>
        </w:rPr>
        <w:t xml:space="preserve">Ů</w:t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SLEDKY BRŽDĚNÍ HNĚVU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Style w:val="842"/>
        <w:numPr>
          <w:ilvl w:val="0"/>
          <w:numId w:val="6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Pasivní agrese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(zapomínání, mlčení, tělesné reakce..).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Mlčím. Nebo „zapomenu“ na nějaký termín.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6"/>
        </w:numPr>
        <w:pBdr/>
        <w:spacing/>
        <w:ind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Člověk vypadá slušně, ale je to falešná hra.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Tvářím se úplně klidně (To pak často vyvolá aktivní agresi).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</w:p>
    <w:p>
      <w:pPr>
        <w:pStyle w:val="842"/>
        <w:numPr>
          <w:ilvl w:val="0"/>
          <w:numId w:val="6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Obrácení proti sobě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(sebepoškozování, deprese).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Sám sebe si nevážím, nadávám si..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6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tísněná nálada.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Může to začít projevovat tělo.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6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Umělé sebeomezení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= jemná verze sebeubližování.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6"/>
        </w:numPr>
        <w:pBdr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Psychosomatika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2"/>
        <w:numPr>
          <w:ilvl w:val="0"/>
          <w:numId w:val="6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Brzdí vitalitu, ale i vzájemnost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KONSTRUKTIVNÍ ZVLÁDANÍ HNĚVU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Chvilku počkat, ale zas ne dlouho. Poté můžu i konfrontovat, vyjádřit, že mě to naštvalo.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Style w:val="842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Uznat, že hněv má smysl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Odhalovat ho – pozor na pasivní agresi, verbální agresi, fantazie, sebepoškozování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Uvědomění si pocitu vlastní hodnoty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Vyjádřit frustraci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7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Nepřesouvat svůj hněv na druhé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VROZENÉ NEBO OVLIVNĚNÉ VÝCHOVOU?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hyperlink r:id="rId9" w:tooltip="https://www.youtube.com/watch?v=vmE3NfB_HhE" w:history="1">
        <w:r>
          <w:rPr>
            <w:rStyle w:val="820"/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https://www.youtube.com/watch?v=vmE3NfB_HhE</w:t>
        </w:r>
        <w:r>
          <w:rPr>
            <w:rStyle w:val="820"/>
            <w:rFonts w:ascii="Times New Roman" w:hAnsi="Times New Roman" w:eastAsia="Times New Roman" w:cs="Times New Roman"/>
            <w:sz w:val="24"/>
            <w:szCs w:val="24"/>
            <w:highlight w:val="none"/>
          </w:rPr>
        </w:r>
        <w:r>
          <w:rPr>
            <w:rStyle w:val="820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Rodiče (pečující osoby) pomáhají dítěti rozumět sobě a světu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Bion-containment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CO NÁM ŘÍKALI? JAK SE K NÁM CHOVALI?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„Nikomu se nedá věřit.“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„Svět je nebezpečné místo.“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„Když budeš taková, nikdo tě nebude mít rád.“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....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Emoční vzorce (jádrová přesvědčení, introjekt)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se vytváří prvních 6 let života, ne vždy si je uvědomujeme. Formují se nejbližšími osobami, emočně nabitými událostmi.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Když se dostanu do situace, která je emočně nabitá, tak se nám to vrátí...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EMOČNÍ VZORCE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„Mám pořád málo.“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„Měla jsem být někým jiným.“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„Jsem nežádoucí.“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„Nic se mi nepodaří.“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„Jsem bezmocná a stále dítětem.“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„Nedokážu se bránit.“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Je třeba, aby to bylo moje svobodné rozhodnutí.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694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409"/>
        <w:gridCol w:w="6945"/>
      </w:tblGrid>
      <w:tr>
        <w:trPr/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Současný program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Nejsem dost dobrý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Pocity v dospělosti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94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Druzí jsou lepší, neustálé srovnávání. Snaha o dokonalost. Nejsem dobrý takový, jaký jsem. Přetvář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ka. Strach, že se projeví moje nedostatečnost. Závislost na názoru druhých. Snadno se necháte rozhodit. Hluboká vnitřní nejistota (často se ptáte druhých nebo sami sebe, například: A jak je to správně? Mám to udělat tak, nebo jinak? Udělal jsem to dobře?).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Možné příčiny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94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Rodiče 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asto – byť v dobré víře – dávají dětem v situacích, kdy jim něco nejde, druhé děti za příklad. Srovnávají je. Poukazují jenom na jednu vlastnost a nevnímají své ani druhé dítě jako celek (s dobrými i nedobrými vlastnostmi). Častá kritika ze strany rodičů.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Style w:val="694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409"/>
        <w:gridCol w:w="6947"/>
      </w:tblGrid>
      <w:tr>
        <w:trPr/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Současný program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9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Mně se nic nepodaří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Pocity v dospělosti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9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Jsem smolař. Určitě to zase pokazím. Neustálé vnitřní srovnávání s druhými. Druzí vše umí lépe. Druzí mají více štěstí.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Možné příčiny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94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Neúspěchy a nesplněná očekávání, například ve sportu, nálepky od učitelů typu „vždycky to zkazí“. Často se vytváří při „konkurenčním 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oji“ rodičů a dětí. Například otec neustále synovi předvádí, že je lepší. Nikdy ho nenechá v ničem vyhrát. Poučuje a neustále radí. Nebo matka dává vytrvale najevo, že všechno umí lépe, dceru neustále kritizuje i u naprosto bezvýznamných věcí a poučuje ji.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94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409"/>
        <w:gridCol w:w="6947"/>
      </w:tblGrid>
      <w:tr>
        <w:trPr/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Současný program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9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Musím vždy poslouchat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Pocity v dospělosti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94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Bez druhých to nedokážu. Strach projevit vlastní osobnost, pocity trapnosti a nedostatečnosti. Strac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h z autorit. Závislost na hodnocení druhých. Nadměrná přizpůsobivost a poslušnost. Někdy se poslušnost převrátí do vzdoru. Vzdor je ale také určitou formou přizpůsobivosti. Pokud někdo řekne A, rebel musí říct B a naopak. Vzdor je přizpůsobování se naruby.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Možné příčiny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94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Velmi přísná výchova se spoustou pravidel. Děti mohou získat lásku a zájem jedině za poslušnost a přizpůsobivost.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CO S TÍM MÁM DĚLAT?</w:t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Chce to rozhodnutí, dozrání, vyskočit ze zajetých vzorců. Objevit to v sobě.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Style w:val="842"/>
        <w:numPr>
          <w:ilvl w:val="0"/>
          <w:numId w:val="8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Dozrát ke změně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8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Přijmout rodiče, minulost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8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Pracovat s myšlenkami, emocemi.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8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Vytvořit nové vzorce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:u w:val="single"/>
        </w:rPr>
        <w:t xml:space="preserve">Pracovní list: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Co se mi pořád opakuje? Čím se v životě živím a nedělá to dobrotu? Zamysli se!!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Ne, že jsem celá špatná! Říct si, že něco se mi daří a něco chci poopravit.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94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543"/>
        <w:gridCol w:w="5811"/>
      </w:tblGrid>
      <w:tr>
        <w:trPr/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Staré programy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/>
            <w:tcW w:w="581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Nové programy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Nejsem dost dobrý.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81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Jsem v pořádku takový, jaký jsem. Jsem vždy dostatečný, i když nejsem dokonalý a dělám chyby.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Jsem nežádoucí.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81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Jsem vítaný a mám zde své místo.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54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Mám pořád málo.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81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Mám vše, co potřebuji. V sobě najdu vše, co potřebují.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Chci být nejlepší, ale nedokážu to.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8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Jsem v pořádku a dobrý takový, jaký jsem. Dělám to, co dává mému životu hloubku.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Za všechno můžu já.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8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Já za to nemůžu. Nenesu odpovědnost za život a chyby ostatních.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Mně se nic nepodaří.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8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Dělám vše nejlépe, jak dovedu. Jsem dostatečný. Jsem vítěz, ať prohraji nebo vyhraji.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Musím vždy poslouchat.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8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Mám právo na svůj názor a své pocity.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54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Jsem bezmocný a stále dítětem.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/>
            <w:tcW w:w="581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Jsem dospělý. Dokážu se o sebe postarat. Přijímám zodpovědnost za svůj život.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PRÁCE S EMOCEMI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 kroků: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1.Zastavte se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2. Pojmenujte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3. Techniky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4. Vyhodnoťte a poučte se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5. Psychohygiena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TECHNIKY ZAMĚŘENÉ NA TĚLO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(nebo i aktivnější – jít se proběhnout)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9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Zaměření na smysly –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víc se dostat do přítomnosti. Na 2-3 minuty si sednu, uvědomím si, jaké to je. Jak se cítím v těle? Projdu všechny smysly – co vidím, cítím, slyším? Člověk se zklidní a dostane se do prožívání tady a teď.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9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Změna polohy těla –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třeba při úzkosti – jsem stažený = vstanu, protřepu ruce. Vypadá to jako maličkost, ale vede to k uvolnění.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9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Práce s dechem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9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Jacobsonova progresivní svalová relaxace –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najít na netu postupy. Odshora dolů zatnu a povolím svalové skupiny. Vede k uvolnění.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9"/>
        </w:numPr>
        <w:pBdr/>
        <w:spacing/>
        <w:ind/>
        <w:rPr>
          <w:rFonts w:ascii="Times New Roman" w:hAnsi="Times New Roman" w:cs="Times New Roman"/>
          <w:bCs w:val="0"/>
          <w:i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</w:rPr>
        <w:t xml:space="preserve">A další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TECHNIKY ZAMĚŘENÉ NA MYŠLENÍ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Style w:val="842"/>
        <w:numPr>
          <w:ilvl w:val="0"/>
          <w:numId w:val="10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Změna úhlu pohledu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10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Analýza myšlenek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10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STOP technika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10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Vypsat se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10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A další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Kdyby i to řekla kamarádka, co bych jí na to řekla? == přehodnotím tu emoci nebo si to vypíšu nebo se sdílím s někým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Příklad: Strach z prezentace: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Představte si sympatického manažera Jakuba. Práci má rád, vše mu jde dobře, až na jednu věc – prezentaci před nadřízenými. Než se Jakub naučil pracovat se svým strachem, tak minimálně týden dopředu prožíval doslova peklo na zemi – jak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to sám nazval. Nejedl, nespal, bylo mu z toho špatně Jakub si tedy založil v počítači soubor s otázkami, na které odpovídal, kdykoli ho přepadl stres z prezentace. Jeho stres se pokaždé výrazně snížil. Jakub si kladl následující otázky (a odpovídal na ně):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Čeho se nejvíc bojím? Že ze sebe při prezentaci nevymáčknu ani slovo.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Co při tom cítím? Cítím hrůzu, paniku, bolí mě žaludek.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Jak jsou tyto pocity intenzivní? Hodně, celý se třesu.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Co nejhoršího by se mohlo stát? Že zůstanu na záchodě a nebudu prezentovat.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Jak moc věřím tomu, že se to stane? Moc ne.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Jaký je plán, pokud by to nastalo? No nic, budu sedět na záchodě a omluvím se, že se mi udělalo špatně.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Kdyby se to stalo, jak bych se na to díval třeba za rok? Asi by mi to bylo jedno.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Už se to nějakému člověku na světě někdy stalo? Určitě a přežil to.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Už se mi to stalo někdy v minulosti? Pocity ano, ale nakonec jsem to vždycky zvládl.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Co mi tenkrát pomohlo? Prostě tam jít a začít. Uklidňoval jsem se tím, že mě stejně moc neposlouchají a mají všechno před sebou napsané.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Se to ve firmě jenom mně? Určitě ne, vím, že Honzovi je taky před prezentací vždycky špatně.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Děje se mi to opravdu „pořád“? Při prezentaci před nadřízenými vždycky. Při prezentaci před podřízenými ne.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Stane se mi někdy něco dobrého? Ano, často.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Co všechno dělám dobře? Jsem rozhodně výborný v řízení týmu a jednání se zákazníky.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Jde o práci s myšlenkami. Zjistím, že to není tak katastrofické, jak to vypadalo.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JAK? 7 ZÁSAD PSYCHOHYGIENY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Style w:val="842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Spánek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Relaxace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Příroda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Vztahy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Pohyb, zdravá strava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Organizace času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Sebepoznání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LITERATURA: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Radka, L (2019). Emoce pod kontrolou: Pět kroků ke zvládání emocí. Grada Publishing a.s.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McKay, M., et al. (2020). Emoce pod kontrolou. Praha: Portál.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Kast, V. (2010). Hněv a jeho smysl: podněty k seberozvoji. Praha: Portál.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hyperlink r:id="rId10" w:tooltip="http://www.rachelbicova.cz" w:history="1">
        <w:r>
          <w:rPr>
            <w:rStyle w:val="820"/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www.rachelbicova.cz</w:t>
        </w:r>
        <w:r>
          <w:rPr>
            <w:rStyle w:val="820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Style w:val="842"/>
        <w:numPr>
          <w:ilvl w:val="0"/>
          <w:numId w:val="4"/>
        </w:numPr>
        <w:pBdr/>
        <w:spacing/>
        <w:ind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Blog Mezi řečí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Porozumění sobě může jít i přes obrazy – inspirace kartami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– </w:t>
      </w:r>
      <w:hyperlink r:id="rId11" w:tooltip="http://www.b-creative.cz" w:history="1">
        <w:r>
          <w:rPr>
            <w:rStyle w:val="820"/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www.b-creative.cz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(Karty s příběhy, storytelling cards)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– měli jsme k praktickému vyzkoušení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pBdr/>
        <w:shd w:val="nil"/>
        <w:spacing/>
        <w:ind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Pracovní listy k vyplňování: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tbl>
      <w:tblPr>
        <w:tblStyle w:val="694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1559"/>
        <w:gridCol w:w="1984"/>
        <w:gridCol w:w="2070"/>
        <w:gridCol w:w="1871"/>
        <w:gridCol w:w="1871"/>
      </w:tblGrid>
      <w:tr>
        <w:trPr/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Emoce/četnost: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Často, občas, vůbec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Co emoci spouští?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Jaké myšlenky se mi honí hlavou (destruktivní formy, tajné programy)?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Kde v těle emoci cítím?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Jak se obvykle chovám? Čeho tím dosáhnu? Co se stane potom?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Euforie: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Občas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(příklad)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Když se i něco výjimečného podaří; když vyjde něco, co jsem si moc přála..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To je super, já mám takovou kliku..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Energie v celém těle, chvění, chce se mi křičet, skákat..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Začnu křičet radostí a jdu si zacvičit, nebo si dám sklenku vína na ztlumení energie..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Vztek.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Často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(příklad)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Nedodržení slibů, neschopnost druhých, byrokracie, dopravní zácpy..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Oni za to můžou, jsou neschopní (svalování odpovědnosti, role oběti, jsem bezmocný)..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Napětí v celém těle, horko, funím..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  <w:t xml:space="preserve">Buď to dusím v sobě a potom někde vybuchnu, začnu křičet, nadávat, stěžovat si.. nedosáhnu ničeho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touha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vášeň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zájem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klid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euforie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něžnost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odvaha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přijetí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odpor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opovržení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ponížení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nervozita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žárlivost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znechucení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zklamání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bezmoc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nejistota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apatie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osamělost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láska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radost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naplnění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vděčnost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úleva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obdiv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hrdost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soucit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naděje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úzkost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vztek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smutek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nuda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strach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nenávist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závist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pocity viny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stud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207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  <w:t xml:space="preserve">Program 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tbl>
      <w:tblPr>
        <w:tblStyle w:val="694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118"/>
        <w:gridCol w:w="6237"/>
      </w:tblGrid>
      <w:tr>
        <w:trPr/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Současný program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(v jakých situacích působí, jak často se opakuje...)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2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Pocity v dospělosti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2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 w:left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Možné příčiny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left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left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2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  <w:t xml:space="preserve">Program 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tbl>
      <w:tblPr>
        <w:tblStyle w:val="694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118"/>
        <w:gridCol w:w="6237"/>
      </w:tblGrid>
      <w:tr>
        <w:trPr/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Současný program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(v jakých situacích působí, jak často se opakuje...)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2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Pocity v dospělosti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2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 w:left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Možné příčiny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left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left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2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p>
      <w:pPr>
        <w:pBdr/>
        <w:spacing/>
        <w:ind w:firstLine="0" w:left="0"/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  <w:t xml:space="preserve">Program 3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14:ligatures w14:val="none"/>
        </w:rPr>
      </w:r>
    </w:p>
    <w:tbl>
      <w:tblPr>
        <w:tblStyle w:val="694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3118"/>
        <w:gridCol w:w="6237"/>
      </w:tblGrid>
      <w:tr>
        <w:trPr/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Současný program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(v jakých situacích působí, jak často se opakuje...)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2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Pocity v dospělosti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237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3118" w:type="dxa"/>
            <w:vMerge w:val="restart"/>
            <w:textDirection w:val="lrTb"/>
            <w:noWrap w:val="false"/>
          </w:tcPr>
          <w:p>
            <w:pPr>
              <w:pBdr/>
              <w:spacing/>
              <w:ind w:left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Možné příčiny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left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 w:left="0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623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14:ligatures w14:val="none"/>
        </w:rPr>
      </w:r>
    </w:p>
    <w:tbl>
      <w:tblPr>
        <w:tblStyle w:val="694"/>
        <w:tblW w:w="0" w:type="auto"/>
        <w:tblBorders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Emoce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Kdy se objeví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účel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Pozitivní pól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Negativní pól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strach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hněv (vztek)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radost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smutek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odpor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překvapení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87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 w:firstLine="0" w:left="0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sectPr>
      <w:footnotePr/>
      <w:endnotePr/>
      <w:type w:val="nextPage"/>
      <w:pgSz w:h="16838" w:orient="landscape" w:w="11906"/>
      <w:pgMar w:top="850" w:right="850" w:bottom="850" w:left="141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</w:font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upperLetter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1">
    <w:name w:val="Title Char"/>
    <w:link w:val="680"/>
    <w:uiPriority w:val="10"/>
    <w:pPr>
      <w:pBdr/>
      <w:spacing/>
      <w:ind/>
    </w:pPr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3">
    <w:name w:val="Subtitle Char"/>
    <w:link w:val="682"/>
    <w:uiPriority w:val="11"/>
    <w:pPr>
      <w:pBdr/>
      <w:spacing/>
      <w:ind/>
    </w:pPr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pBdr/>
      <w:spacing/>
      <w:ind w:right="720" w:left="720"/>
    </w:pPr>
    <w:rPr>
      <w:i/>
    </w:rPr>
  </w:style>
  <w:style w:type="character" w:styleId="685">
    <w:name w:val="Quote Char"/>
    <w:link w:val="684"/>
    <w:uiPriority w:val="29"/>
    <w:pPr>
      <w:pBdr/>
      <w:spacing/>
      <w:ind/>
    </w:pPr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7">
    <w:name w:val="Intense Quote Char"/>
    <w:link w:val="686"/>
    <w:uiPriority w:val="30"/>
    <w:pPr>
      <w:pBdr/>
      <w:spacing/>
      <w:ind/>
    </w:pPr>
    <w:rPr>
      <w:i/>
    </w:rPr>
  </w:style>
  <w:style w:type="paragraph" w:styleId="688">
    <w:name w:val="Header"/>
    <w:basedOn w:val="838"/>
    <w:link w:val="68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9">
    <w:name w:val="Header Char"/>
    <w:link w:val="688"/>
    <w:uiPriority w:val="99"/>
    <w:pPr>
      <w:pBdr/>
      <w:spacing/>
      <w:ind/>
    </w:pPr>
  </w:style>
  <w:style w:type="paragraph" w:styleId="690">
    <w:name w:val="Footer"/>
    <w:basedOn w:val="838"/>
    <w:link w:val="69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1">
    <w:name w:val="Footer Char"/>
    <w:link w:val="690"/>
    <w:uiPriority w:val="99"/>
    <w:pPr>
      <w:pBdr/>
      <w:spacing/>
      <w:ind/>
    </w:pPr>
  </w:style>
  <w:style w:type="paragraph" w:styleId="692">
    <w:name w:val="Caption"/>
    <w:basedOn w:val="838"/>
    <w:next w:val="83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  <w:pPr>
      <w:pBdr/>
      <w:spacing/>
      <w:ind/>
    </w:pPr>
  </w:style>
  <w:style w:type="table" w:styleId="694">
    <w:name w:val="Table Grid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Table Grid Light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Plain Table 1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2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1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2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3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5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6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0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2">
    <w:name w:val="Footnote Text Char"/>
    <w:link w:val="821"/>
    <w:uiPriority w:val="99"/>
    <w:pPr>
      <w:pBdr/>
      <w:spacing/>
      <w:ind/>
    </w:pPr>
    <w:rPr>
      <w:sz w:val="18"/>
    </w:rPr>
  </w:style>
  <w:style w:type="character" w:styleId="82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5">
    <w:name w:val="Endnote Text Char"/>
    <w:link w:val="824"/>
    <w:uiPriority w:val="99"/>
    <w:pPr>
      <w:pBdr/>
      <w:spacing/>
      <w:ind/>
    </w:pPr>
    <w:rPr>
      <w:sz w:val="20"/>
    </w:rPr>
  </w:style>
  <w:style w:type="character" w:styleId="82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pBdr/>
      <w:spacing w:after="57"/>
      <w:ind w:right="0" w:firstLine="0" w:left="0"/>
    </w:pPr>
  </w:style>
  <w:style w:type="paragraph" w:styleId="828">
    <w:name w:val="toc 2"/>
    <w:basedOn w:val="838"/>
    <w:next w:val="838"/>
    <w:uiPriority w:val="39"/>
    <w:unhideWhenUsed/>
    <w:pPr>
      <w:pBdr/>
      <w:spacing w:after="57"/>
      <w:ind w:right="0" w:firstLine="0" w:left="283"/>
    </w:pPr>
  </w:style>
  <w:style w:type="paragraph" w:styleId="829">
    <w:name w:val="toc 3"/>
    <w:basedOn w:val="838"/>
    <w:next w:val="838"/>
    <w:uiPriority w:val="39"/>
    <w:unhideWhenUsed/>
    <w:pPr>
      <w:pBdr/>
      <w:spacing w:after="57"/>
      <w:ind w:right="0" w:firstLine="0" w:left="567"/>
    </w:pPr>
  </w:style>
  <w:style w:type="paragraph" w:styleId="830">
    <w:name w:val="toc 4"/>
    <w:basedOn w:val="838"/>
    <w:next w:val="838"/>
    <w:uiPriority w:val="39"/>
    <w:unhideWhenUsed/>
    <w:pPr>
      <w:pBdr/>
      <w:spacing w:after="57"/>
      <w:ind w:right="0" w:firstLine="0" w:left="850"/>
    </w:pPr>
  </w:style>
  <w:style w:type="paragraph" w:styleId="831">
    <w:name w:val="toc 5"/>
    <w:basedOn w:val="838"/>
    <w:next w:val="838"/>
    <w:uiPriority w:val="39"/>
    <w:unhideWhenUsed/>
    <w:pPr>
      <w:pBdr/>
      <w:spacing w:after="57"/>
      <w:ind w:right="0" w:firstLine="0" w:left="1134"/>
    </w:pPr>
  </w:style>
  <w:style w:type="paragraph" w:styleId="832">
    <w:name w:val="toc 6"/>
    <w:basedOn w:val="838"/>
    <w:next w:val="838"/>
    <w:uiPriority w:val="39"/>
    <w:unhideWhenUsed/>
    <w:pPr>
      <w:pBdr/>
      <w:spacing w:after="57"/>
      <w:ind w:right="0" w:firstLine="0" w:left="1417"/>
    </w:pPr>
  </w:style>
  <w:style w:type="paragraph" w:styleId="833">
    <w:name w:val="toc 7"/>
    <w:basedOn w:val="838"/>
    <w:next w:val="838"/>
    <w:uiPriority w:val="39"/>
    <w:unhideWhenUsed/>
    <w:pPr>
      <w:pBdr/>
      <w:spacing w:after="57"/>
      <w:ind w:right="0" w:firstLine="0" w:left="1701"/>
    </w:pPr>
  </w:style>
  <w:style w:type="paragraph" w:styleId="834">
    <w:name w:val="toc 8"/>
    <w:basedOn w:val="838"/>
    <w:next w:val="838"/>
    <w:uiPriority w:val="39"/>
    <w:unhideWhenUsed/>
    <w:pPr>
      <w:pBdr/>
      <w:spacing w:after="57"/>
      <w:ind w:right="0" w:firstLine="0" w:left="1984"/>
    </w:pPr>
  </w:style>
  <w:style w:type="paragraph" w:styleId="835">
    <w:name w:val="toc 9"/>
    <w:basedOn w:val="838"/>
    <w:next w:val="838"/>
    <w:uiPriority w:val="39"/>
    <w:unhideWhenUsed/>
    <w:pPr>
      <w:pBdr/>
      <w:spacing w:after="57"/>
      <w:ind w:right="0" w:firstLine="0" w:left="2268"/>
    </w:pPr>
  </w:style>
  <w:style w:type="paragraph" w:styleId="836">
    <w:name w:val="TOC Heading"/>
    <w:uiPriority w:val="39"/>
    <w:unhideWhenUsed/>
    <w:pPr>
      <w:pBdr/>
      <w:spacing/>
      <w:ind/>
    </w:pPr>
  </w:style>
  <w:style w:type="paragraph" w:styleId="837">
    <w:name w:val="table of figures"/>
    <w:basedOn w:val="838"/>
    <w:next w:val="838"/>
    <w:uiPriority w:val="99"/>
    <w:unhideWhenUsed/>
    <w:pPr>
      <w:pBdr/>
      <w:spacing w:after="0" w:afterAutospacing="0"/>
      <w:ind/>
    </w:pPr>
  </w:style>
  <w:style w:type="paragraph" w:styleId="838" w:default="1">
    <w:name w:val="Normal"/>
    <w:qFormat/>
    <w:pPr>
      <w:pBdr/>
      <w:spacing/>
      <w:ind w:firstLine="0" w:left="0"/>
    </w:pPr>
  </w:style>
  <w:style w:type="table" w:styleId="83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paragraph" w:styleId="841">
    <w:name w:val="No Spacing"/>
    <w:basedOn w:val="838"/>
    <w:uiPriority w:val="1"/>
    <w:qFormat/>
    <w:pPr>
      <w:pBdr/>
      <w:spacing w:after="0" w:line="240" w:lineRule="auto"/>
      <w:ind/>
    </w:pPr>
  </w:style>
  <w:style w:type="paragraph" w:styleId="842">
    <w:name w:val="List Paragraph"/>
    <w:basedOn w:val="838"/>
    <w:uiPriority w:val="34"/>
    <w:qFormat/>
    <w:pPr>
      <w:pBdr/>
      <w:spacing/>
      <w:ind w:left="720"/>
      <w:contextualSpacing w:val="true"/>
    </w:pPr>
  </w:style>
  <w:style w:type="character" w:styleId="843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youtube.com/watch?v=vmE3NfB_HhE" TargetMode="External"/><Relationship Id="rId10" Type="http://schemas.openxmlformats.org/officeDocument/2006/relationships/hyperlink" Target="http://www.rachelbicova.cz" TargetMode="External"/><Relationship Id="rId11" Type="http://schemas.openxmlformats.org/officeDocument/2006/relationships/hyperlink" Target="http://www.b-creative.cz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2024-05-16T19:39:50Z</dcterms:modified>
</cp:coreProperties>
</file>